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5820"/>
        <w:gridCol w:w="3931"/>
      </w:tblGrid>
      <w:tr>
        <w:tc>
          <w:tcPr>
            <w:tcW w:type="dxa" w:w="582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0"/>
              <w:left w:type="dxa" w:w="0"/>
              <w:bottom w:type="dxa" w:w="0"/>
              <w:right w:type="dxa" w:w="260"/>
            </w:tcMar>
            <w:vAlign w:val="top"/>
          </w:tcPr>
          <w:p>
            <w:pPr>
              <w:spacing w:after="20"/>
            </w:pPr>
            <w:r>
              <w:rPr>
                <w:rFonts w:ascii="Segoe UI Semibold" w:cs="Segoe UI Semibold" w:eastAsia="Segoe UI Semibold" w:hAnsi="Segoe UI Semibold"/>
                <w:color w:val="20466C"/>
                <w:spacing w:val="34"/>
                <w:sz w:val="14"/>
                <w:szCs w:val="14"/>
              </w:rPr>
              <w:t xml:space="preserve">СЕРИЯ ПКН · ПУСКОВАЯ КОРОБКА</w:t>
            </w:r>
          </w:p>
          <w:p>
            <w:pPr>
              <w:spacing w:after="70" w:before="80"/>
            </w:pPr>
            <w:r>
              <w:rPr>
                <w:rFonts w:ascii="Segoe UI Light" w:cs="Segoe UI Light" w:eastAsia="Segoe UI Light" w:hAnsi="Segoe UI Light"/>
                <w:color w:val="262B31"/>
                <w:sz w:val="46"/>
                <w:szCs w:val="46"/>
              </w:rPr>
              <w:t xml:space="preserve">ПКН</w:t>
            </w:r>
          </w:p>
          <w:p>
            <w:pPr>
              <w:spacing w:after="130" w:line="252" w:lineRule="auto"/>
            </w:pPr>
            <w:r>
              <w:rPr>
                <w:rFonts w:ascii="Segoe UI" w:cs="Segoe UI" w:eastAsia="Segoe UI" w:hAnsi="Segoe UI"/>
                <w:color w:val="6E7A86"/>
                <w:sz w:val="19"/>
                <w:szCs w:val="19"/>
              </w:rPr>
              <w:t xml:space="preserve">Пусковые коробки насосов до 37 кВт — прямой пуск без контроллера</w:t>
            </w:r>
          </w:p>
          <w:p>
            <w:pPr>
              <w:spacing w:after="0" w:line="264" w:lineRule="auto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Максимально простой и надёжный способ включить насос: кнопки «Пуск/Стоп», полный набор защит и ни одной лишней детали. Нечему ломаться и нечего настраивать.</w:t>
            </w:r>
          </w:p>
        </w:tc>
        <w:tc>
          <w:tcPr>
            <w:tcW w:type="dxa" w:w="393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shd w:fill="E8F1F8" w:val="clear"/>
            <w:tcMar>
              <w:top w:type="dxa" w:w="170"/>
              <w:left w:type="dxa" w:w="230"/>
              <w:bottom w:type="dxa" w:w="170"/>
              <w:right w:type="dxa" w:w="140"/>
            </w:tcMar>
            <w:vAlign w:val="top"/>
          </w:tcPr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МОЩНОСТЬ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0,18–37 кВт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НАСОСОВ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1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ПУСК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прямой, кнопками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ЛОГИКА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без контроллера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ЗАЩИТЫ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КЗ, перегрузка, min U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ИСПОЛНЕНИЕ</w:t>
            </w:r>
          </w:p>
          <w:p>
            <w:pPr>
              <w:spacing w:after="0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IP54 / IP65, до −40 °C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НАЗНАЧЕНИЕ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Пусковые коробки серии ПКН предназначены для ручного пуска и останова одного насосного агрегата с асинхронным электродвигателем мощностью 0,18–37 кВт. Пуск — прямой, схема полностью релейно-контакторная: контроллера в коробке нет.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Это осознанно простое изделие. Там, где не нужны датчики и автоматика, лишняя электроника только снижает надёжность и добавляет цену: ПКН собирается из мотор-автомата, контактора и кнопочного поста и обслуживается любым электриком — без программ, настроек и документации на ПО.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При необходимости коробка дооснащается контролем фаз (опция КФ) и реверсивной схемой (опция Р) — для приводов, требующих смены направления вращения. Если нужны работа по датчикам, автоматика и резервный насос — для этого есть шкафы управления серий ШУ.</w:t>
      </w:r>
    </w:p>
    <w:p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Рекомендуется для насосов Катайского насосного завода: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консольные К и КМ, циркуляционные ЛМ и любые другие насосы до 37 кВт при ручном режиме работы.</w:t>
      </w:r>
    </w:p>
    <w:p>
      <w:pPr>
        <w:spacing w:after="40"/>
      </w:pPr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Типовые объекты: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мастерские и производственные участки, полив и технические нужды, перекачка из ёмкостей, резервные и сезонные насосы, стендовые испытания.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ФУНКЦИИ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3250"/>
        <w:gridCol w:w="3250"/>
        <w:gridCol w:w="3250"/>
      </w:tblGrid>
      <w:tr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Управление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ручной пуск и останов кнопками на крышке коробки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после пропадания питания повторный пуск — только вручную (защита от самозапуска)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реверсивная схема — переключение направления вращения (опция Р)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Защиты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короткое замыкание (мотор-автомат)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тепловая перегрузка двигателя с регулируемой уставкой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минимальное напряжение: катушка контактора отпускает при глубокой просадке сети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обрыв, перекос и неверное чередование фаз (опция КФ — реле РНПП-311М)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Индикация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лампы «Сеть» и «Работа» на крышке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лампа «Авария» — при срабатывании защит (в исполнении с опцией КФ)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ТЕХНИЧЕСКИЕ ХАРАКТЕРИСТИКИ</w:t>
      </w:r>
    </w:p>
    <w:tbl>
      <w:tblPr>
        <w:tblW w:type="dxa" w:w="9750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850"/>
        <w:gridCol w:w="3025"/>
        <w:gridCol w:w="1850"/>
        <w:gridCol w:w="3025"/>
      </w:tblGrid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1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Питание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~380 В (+10…−15 %), 50 Гц, 3 ф.; до 2,2 кВт — исполнение ~230 В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электродвигателя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0,18–37 кВт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Контроль питающей сети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опция КФ — реле РНПП-311М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Ток двигателя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до 80 А; в обозначении — диапазон уставки АЗД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 корпуса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IP54 (базово) или IP65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Вводной автомат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6–100 А — по току двигателя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УХЛ4 (помещение, +1…+40 °С); УХЛ1 (улица, до −40 °С) — с опцией О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Способ пуска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прямой (мотор-автомат + контактор)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Корпус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металлический навесной DKC серии ST, от 300×200×150 мм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Логика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релейно-контакторная схема, без контроллера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Обслуживание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любым электротехническим персоналом, без ПО и настроек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Управление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кнопки «Пуск» / «Стоп» на крышке; защита от самозапуска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5"/>
              <w:left w:type="dxa" w:w="0"/>
              <w:bottom w:type="dxa" w:w="45"/>
              <w:right w:type="dxa" w:w="140"/>
            </w:tcMar>
            <w:vAlign w:val="top"/>
          </w:tcPr>
          <w:p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/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5"/>
              <w:left w:type="dxa" w:w="0"/>
              <w:bottom w:type="dxa" w:w="45"/>
              <w:right w:type="dxa" w:w="140"/>
            </w:tcMar>
            <w:vAlign w:val="top"/>
          </w:tcPr>
          <w:p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ОБОЗНАЧЕНИЕ ПРИ ЗАКАЗЕ</w:t>
      </w:r>
    </w:p>
    <w:p>
      <w:pPr>
        <w:spacing w:after="80" w:before="40"/>
      </w:pPr>
      <w:r>
        <w:rPr>
          <w:rFonts w:ascii="Segoe UI" w:cs="Segoe UI" w:eastAsia="Segoe UI" w:hAnsi="Segoe UI"/>
          <w:color w:val="6E7A86"/>
          <w:sz w:val="17"/>
          <w:szCs w:val="17"/>
        </w:rPr>
        <w:t xml:space="preserve">Пример обозначения   </w:t>
      </w:r>
      <w:r>
        <w:rPr>
          <w:rFonts w:ascii="Segoe UI Semibold" w:cs="Segoe UI Semibold" w:eastAsia="Segoe UI Semibold" w:hAnsi="Segoe UI Semibold"/>
          <w:color w:val="20466C"/>
          <w:sz w:val="20"/>
          <w:szCs w:val="20"/>
        </w:rPr>
        <w:t xml:space="preserve">ПКН-16-[4-6,3]-КФ-IP54-УХЛ4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500"/>
        <w:gridCol w:w="8251"/>
      </w:tblGrid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ПКН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наименование серии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номинальный ток вводного автомата, А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[Х-Х]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диапазон уставки автомата защиты двигателя (АЗД), А — по нему подбирается ток двигателя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Х.Х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опции (через точку)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IPXX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степень защиты корпуса: IP54 (базово) или IP65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УХЛХ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климатическое исполнение по ГОСТ 15150: УХЛ4 (помещение) или УХЛ1 (улица, с опцией О)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Диапазон АЗД выбирается так, чтобы номинальный ток двигателя попадал внутрь диапазона. Номинал вводного автомата рассчитан как суммарный максимальный ток двигателей × 1,25 с округлением вверх по стандартному ряду; при наличии проектных данных корректируется под фактическую нагрузку объекта.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ВХОДНЫЕ И ВЫХОДНЫЕ СИГНАЛЫ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6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ВХОДНЫЕ СИГНАЛЫ И ДАТЧИКИ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ВЫХОДНЫЕ СИГНАЛЫ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кнопки «Пуск» / «Стоп» на крышке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лампы «Сеть», «Работа»; «Авария» — с опцией КФ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ОПЦИИ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850"/>
        <w:gridCol w:w="8901"/>
      </w:tblGrid>
      <w:tr>
        <w:tc>
          <w:tcPr>
            <w:tcW w:type="dxa" w:w="85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ОПЦИЯ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КФ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Контроль фаз и напряжения сети (реле РНПП-311М) с лампой «Авария» — в сериях ШУ входит в базу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Р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Реверсивная схема пуска — смена направления вращения (приводы задвижек, мешалок)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О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Обогрев и утепление корпуса — уличное исполнение УХЛ1 (до −40 °С)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А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Антивандальное исполнение: внутренняя дверь, усиленные замки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М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Защита от импульсных перенапряжений (УЗИП)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КОНСТРУКТИВ И ИНЖЕНЕРНЫЕ РЕШЕНИЯ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Компактный навесной корпус DKC серии ST от 300×200×150 мм; кнопки и лампы Systeme Electric IP65 на крышке.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Аппараты Chint: мотор-автомат NS2, контактор NXC; по требованию проекта — КЭАЗ, DEKraft.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Клеммы Onka с полной маркировкой жил; ввод кабелей снизу через сальники.</w:t>
      </w:r>
    </w:p>
    <w:p>
      <w:pPr>
        <w:spacing w:after="40"/>
      </w:pP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Управляемость при отказе электроники.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Переключатели «Ручной – 0 – Автомат» на двери и аппаратная цепь «Стоп», заведённая напрямую в катушку пускателя: насос можно пустить и остановить даже при неисправном контроллере.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Запас на развитие.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 каждом шкафу заложены свободные каналы контроллера, клеммы и место на DIN-рейке — на объекте шкаф дорабатывается без замены.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Честная компоновка.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Габарит корпуса — результат расчёта теплового баланса и кабельных вводов под фактические кабели, а не «типовая коробка».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Унификация серии.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Один ЗИП и одна программа обслуживают несколько шкафов серии.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КОМПЛЕКТ ПОСТАВКИ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 в сборе с загруженной и настроенной программой; паспорт; руководство по эксплуатации; комплект электрических схем; карта Modbus-регистров (для исполнений со связью).</w:t>
      </w:r>
    </w:p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СЕРИЯ ПКН · ШКАФЫ УПРАВЛЕНИЯ НАСОСАМИ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2026-09-02T05:46:20.742Z</dcterms:created>
  <dcterms:modified xsi:type="dcterms:W3CDTF">2026-09-02T05:46:20.742Z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