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p>
      <w:pPr>
        <w:spacing w:after="20"/>
      </w:pPr>
      <w:r>
        <w:rPr>
          <w:rFonts w:ascii="Segoe UI Semibold" w:cs="Segoe UI Semibold" w:eastAsia="Segoe UI Semibold" w:hAnsi="Segoe UI Semibold"/>
          <w:color w:val="20466C"/>
          <w:spacing w:val="34"/>
          <w:sz w:val="14"/>
          <w:szCs w:val="14"/>
        </w:rPr>
        <w:t xml:space="preserve">ОПРОСНЫЙ ЛИСТ · СЕРИЯ ПКН</w:t>
      </w:r>
    </w:p>
    <w:p>
      <w:pPr>
        <w:spacing w:after="60" w:before="80"/>
      </w:pPr>
      <w:r>
        <w:rPr>
          <w:rFonts w:ascii="Segoe UI Light" w:cs="Segoe UI Light" w:eastAsia="Segoe UI Light" w:hAnsi="Segoe UI Light"/>
          <w:color w:val="262B31"/>
          <w:sz w:val="40"/>
          <w:szCs w:val="40"/>
        </w:rPr>
        <w:t xml:space="preserve">Опросный лист</w:t>
      </w:r>
    </w:p>
    <w:p>
      <w:pPr>
        <w:spacing w:after="90" w:line="252" w:lineRule="auto"/>
      </w:pPr>
      <w:r>
        <w:rPr>
          <w:rFonts w:ascii="Segoe UI" w:cs="Segoe UI" w:eastAsia="Segoe UI" w:hAnsi="Segoe UI"/>
          <w:color w:val="6E7A86"/>
          <w:sz w:val="19"/>
          <w:szCs w:val="19"/>
        </w:rPr>
        <w:t xml:space="preserve">заказа шкафов серии ПКН — пусковые коробки — прямой пуск без контроллера</w:t>
      </w:r>
    </w:p>
    <w:p>
      <w:pPr>
        <w:spacing w:after="60" w:line="244" w:lineRule="auto"/>
      </w:pPr>
      <w:r>
        <w:rPr>
          <w:rFonts w:ascii="Segoe UI" w:cs="Segoe UI" w:eastAsia="Segoe UI" w:hAnsi="Segoe UI"/>
          <w:i/>
          <w:iCs/>
          <w:color w:val="6E7A86"/>
          <w:sz w:val="15"/>
          <w:szCs w:val="15"/>
        </w:rPr>
        <w:t xml:space="preserve">Заполните известные поля — недостающие данные уточнит наш инженер. Заполненный лист направьте в отдел продаж АО «Катайский насосный завод»: sale@knz.ru.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1. СВЕДЕНИЯ О ЗАКАЗЧИКЕ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Организация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1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Название и адрес объекта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1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Контактное лицо, должность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Телефон / e-mail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Дата заполнения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2. ФУНКЦИЯ СИСТЕМЫ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Ручной пуск/останов насоса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Реверсивный привод (задвижка, мешалка)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Резервный / сезонный насос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Стендовые испытания</w:t>
            </w:r>
          </w:p>
        </w:tc>
      </w:tr>
    </w:tbl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Другая (укажите)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3. ДАННЫЕ НАСОСНЫХ АГРЕГАТОВ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100"/>
        <w:gridCol w:w="6651"/>
      </w:tblGrid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Марка насоса, производитель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двигателя, кВт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Номинальный ток двигателя, А — с шильды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Напряжение питания (380 / 230 В)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Реверс (да / нет)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Пример марок: К 65-50-160, КМ 80-65-160, ЛМ 65-200.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4. ДАТЧИКИ В СОСТАВЕ СИСТЕМЫ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Контроль фаз (опция КФ)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Реверс направления вращения (опция Р)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5. ОПЦИИ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КФ — Контроль фаз и напряжения сети (реле РНПП-311М) с лампой «Авария»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 — Реверсивная схема пуска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О — Обогрев и утепление корпуса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А — Антивандальное исполнение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М — Защита от импульсных перенапряжений (УЗИП)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6. ИСПОЛНЕНИЕ</w:t>
      </w:r>
    </w:p>
    <w:tbl>
      <w:tblPr>
        <w:tblW w:type="dxa" w:w="9751"/>
        <w:tblBorders>
          <w:top w:val="single" w:color="D7E2EC" w:sz="4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2400"/>
        <w:gridCol w:w="7351"/>
      </w:tblGrid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IP54        </w:t>
            </w:r>
            <w:sdt>
              <w:sdtPr>
                <w:id w:val="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IP65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УХЛ4 (помещение)        </w:t>
            </w:r>
            <w:sdt>
              <w:sdtPr>
                <w:id w:val="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УХЛ1 (улица, с обогревом — опция О)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 питания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один ввод        </w:t>
            </w:r>
            <w:sdt>
              <w:sdtPr>
                <w:id w:val="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два ввода с АВР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7. ОСОБЫЕ ТРЕБОВАНИЯ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9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Опишите особые требования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ОПРОСНЫЙ ЛИСТ · СЕРИЯ ПКН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uiPriority w:val="99"/>
    <w:semiHidden/>
    <w:rPr>
      <w:color w:val="A8A29B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2026-09-02T05:46:21.268Z</dcterms:created>
  <dcterms:modified xsi:type="dcterms:W3CDTF">2026-09-02T05:46:21.268Z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