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400"/>
        <w:gridCol w:w="6351"/>
      </w:tblGrid>
      <w:tr>
        <w:tc>
          <w:tcPr>
            <w:tcW w:type="dxa" w:w="3400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90"/>
              <w:right w:type="dxa" w:w="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1219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11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Segoe UI" w:cs="Segoe UI" w:eastAsia="Segoe UI" w:hAnsi="Segoe UI"/>
                <w:color w:val="6E7A86"/>
                <w:spacing w:val="26"/>
                <w:sz w:val="12"/>
                <w:szCs w:val="12"/>
              </w:rPr>
              <w:t xml:space="preserve">ШКАФЫ УПРАВЛЕНИЯ НАСОСНЫМ ОБОРУДОВАНИЕМ</w:t>
            </w:r>
          </w:p>
        </w:tc>
      </w:tr>
    </w:tbl>
    <w:p>
      <w:pPr>
        <w:spacing w:after="120"/>
      </w:pP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5820"/>
        <w:gridCol w:w="3931"/>
      </w:tblGrid>
      <w:tr>
        <w:tc>
          <w:tcPr>
            <w:tcW w:type="dxa" w:w="582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0"/>
              <w:left w:type="dxa" w:w="0"/>
              <w:bottom w:type="dxa" w:w="0"/>
              <w:right w:type="dxa" w:w="260"/>
            </w:tcMar>
            <w:vAlign w:val="top"/>
          </w:tcPr>
          <w:p>
            <w:pPr>
              <w:spacing w:after="20"/>
            </w:pPr>
            <w:r>
              <w:rPr>
                <w:rFonts w:ascii="Segoe UI Semibold" w:cs="Segoe UI Semibold" w:eastAsia="Segoe UI Semibold" w:hAnsi="Segoe UI Semibold"/>
                <w:color w:val="20466C"/>
                <w:spacing w:val="34"/>
                <w:sz w:val="14"/>
                <w:szCs w:val="14"/>
              </w:rPr>
              <w:t xml:space="preserve">СЕРИЯ ШУ-ПЧ · ЧАСТОТНОЕ РЕГУЛИРОВАНИЕ</w:t>
            </w:r>
          </w:p>
          <w:p>
            <w:pPr>
              <w:spacing w:after="70" w:before="80"/>
            </w:pPr>
            <w:r>
              <w:rPr>
                <w:rFonts w:ascii="Segoe UI Light" w:cs="Segoe UI Light" w:eastAsia="Segoe UI Light" w:hAnsi="Segoe UI Light"/>
                <w:color w:val="262B31"/>
                <w:sz w:val="46"/>
                <w:szCs w:val="46"/>
              </w:rPr>
              <w:t xml:space="preserve">ШУ-ПЧ</w:t>
            </w:r>
          </w:p>
          <w:p>
            <w:pPr>
              <w:spacing w:after="130" w:line="252" w:lineRule="auto"/>
            </w:pPr>
            <w:r>
              <w:rPr>
                <w:rFonts w:ascii="Segoe UI" w:cs="Segoe UI" w:eastAsia="Segoe UI" w:hAnsi="Segoe UI"/>
                <w:color w:val="6E7A86"/>
                <w:sz w:val="19"/>
                <w:szCs w:val="19"/>
              </w:rPr>
              <w:t xml:space="preserve">Шкафы управления насосами с частотным регулированием и ПИД-поддержанием давления</w:t>
            </w:r>
          </w:p>
          <w:p>
            <w:pPr>
              <w:spacing w:after="0" w:line="264" w:lineRule="auto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Точное поддержание давления при любом водоразборе и экономия электроэнергии до 30–50 % на переменных режимах — за счёт ПИД-регулирования скорости насоса.</w:t>
            </w:r>
          </w:p>
        </w:tc>
        <w:tc>
          <w:tcPr>
            <w:tcW w:type="dxa" w:w="393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shd w:fill="E8F1F8" w:val="clear"/>
            <w:tcMar>
              <w:top w:type="dxa" w:w="170"/>
              <w:left w:type="dxa" w:w="230"/>
              <w:bottom w:type="dxa" w:w="170"/>
              <w:right w:type="dxa" w:w="140"/>
            </w:tcMar>
            <w:vAlign w:val="top"/>
          </w:tcPr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МОЩНОСТЬ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0,75–110 кВт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НАСОСОВ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1–3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РЕГУЛИРОВАНИЕ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ПИД в контроллере ОВЕН, 20–50 Гц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ПРЕОБРАЗОВАТЕЛЬ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частотный, ОВЕН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ПРИМЕНЕНИЯ</w:t>
            </w:r>
          </w:p>
          <w:p>
            <w:pPr>
              <w:spacing w:after="86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поддержание давления · циркуляция · дренаж · поддержание уровня в баке</w:t>
            </w:r>
          </w:p>
          <w:p>
            <w:pPr>
              <w:spacing w:after="14"/>
            </w:pPr>
            <w:r>
              <w:rPr>
                <w:rFonts w:ascii="Segoe UI" w:cs="Segoe UI" w:eastAsia="Segoe UI" w:hAnsi="Segoe UI"/>
                <w:color w:val="6E7A86"/>
                <w:spacing w:val="20"/>
                <w:sz w:val="12"/>
                <w:szCs w:val="12"/>
              </w:rPr>
              <w:t xml:space="preserve">ИСПОЛНЕНИЕ</w:t>
            </w:r>
          </w:p>
          <w:p>
            <w:pPr>
              <w:spacing w:after="0" w:line="240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IP54 / IP65, до −40 °C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НАЗНАЧЕНИЕ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Шкафы серии ШУ-ПЧ предназначены для управления одним–тремя насосными агрегатами 0,75–110 кВт с регулированием скорости преобразователем частоты ОВЕН.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ПИД-регулятор контроллера ОВЕН поддерживает заданное давление, перепад давлений или уровень по сигналу датчика 4–20 мА и задаёт преобразователю частоту вращения. Насос вращается ровно с той скоростью, которую требует текущий разбор, — отсюда экономия электроэнергии, отсутствие избыточного давления в сети и мягкая работа без гидроударов.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Алгоритм работы задаётся кодом применения в обозначении: повышение и поддержание давления или уровня в баке (ПД), циркуляция (Ц), дренаж — КНС, ДНС, осушение приямков (ДР). В многонасосном исполнении шкаф чередует агрегаты по наработке и автоматически вводит резервный при аварии основного.</w:t>
      </w:r>
    </w:p>
    <w:p>
      <w:r>
        <w:rPr>
          <w:rFonts w:ascii="Segoe UI Semibold" w:cs="Segoe UI Semibold" w:eastAsia="Segoe UI Semibold" w:hAnsi="Segoe UI Semibold"/>
          <w:color w:val="262B31"/>
          <w:sz w:val="18"/>
          <w:szCs w:val="18"/>
        </w:rPr>
        <w:t xml:space="preserve">Рекомендуется для насосов Катайского насосного завода: </w:t>
      </w:r>
      <w:r>
        <w:rPr>
          <w:rFonts w:ascii="Segoe UI" w:cs="Segoe UI" w:eastAsia="Segoe UI" w:hAnsi="Segoe UI"/>
          <w:color w:val="262B31"/>
          <w:sz w:val="18"/>
          <w:szCs w:val="18"/>
        </w:rPr>
        <w:t xml:space="preserve">консольные К и КМ, линейные циркуляционные ЛМ (поддержание перепада), двухстороннего входа Д, секционные ЦНС/ЦНСГ — до 110 кВт.</w:t>
      </w:r>
    </w:p>
    <w:p>
      <w:pPr>
        <w:spacing w:after="40"/>
      </w:pPr>
      <w:r>
        <w:rPr>
          <w:rFonts w:ascii="Segoe UI Semibold" w:cs="Segoe UI Semibold" w:eastAsia="Segoe UI Semibold" w:hAnsi="Segoe UI Semibold"/>
          <w:color w:val="262B31"/>
          <w:sz w:val="18"/>
          <w:szCs w:val="18"/>
        </w:rPr>
        <w:t xml:space="preserve">Типовые объекты: </w:t>
      </w:r>
      <w:r>
        <w:rPr>
          <w:rFonts w:ascii="Segoe UI" w:cs="Segoe UI" w:eastAsia="Segoe UI" w:hAnsi="Segoe UI"/>
          <w:color w:val="262B31"/>
          <w:sz w:val="18"/>
          <w:szCs w:val="18"/>
        </w:rPr>
        <w:t xml:space="preserve">повысительные установки жилых и общественных зданий, станции подкачки, циркуляционные контуры ИТП/ЦТП и котельных, технологические линии с переменным расходом.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ФУНКЦИИ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single" w:color="D7E2EC" w:sz="4"/>
        </w:tblBorders>
      </w:tblPr>
      <w:tblGrid>
        <w:gridCol w:w="3250"/>
        <w:gridCol w:w="3250"/>
        <w:gridCol w:w="3250"/>
      </w:tblGrid>
      <w:tr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Регулирование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ПИД-поддержание давления / перепада / уровня по датчику 4–20 мА — регулятор в контроллере ОВЕН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«спящий» режим при отсутствии водоразбора с автоматическим пробуждением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безударное заполнение пустого трубопровода на пониженной скорости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пропуск резонансных частот; подхват вращающегося двигателя; автоматический перезапуск</w:t>
            </w:r>
          </w:p>
        </w:tc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Защиты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короткое замыкание (автоматический выключатель); обрыв, перекос и неверное чередование фаз, повышенное/пониженное напряжение (реле РНПП-311М)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защита от «сухого» хода, аварийные уровни, ограничение числа пусков в час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защиты ПЧ: перегрузка, перегрев, обрыв фазы двигателя, замыкание на землю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контроль температуры Pt100/PTC (опция Т)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контроль обратной связи: обрыв датчика 4–20 мА с переходом на резервный алгоритм</w:t>
            </w:r>
          </w:p>
        </w:tc>
        <w:tc>
          <w:tcPr>
            <w:tcW w:type="dxa" w:w="32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spacing w:after="45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Резервирование и сервис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чередование и автоматический ввод резервного насоса (многонасосные исполнения)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байпас ПЧ (опция Б): при отказе преобразователя шкаф переводит насос на прямой пуск — объект остаётся с водой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моточасы, счётчики пусков и журнал аварий — в контроллере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Modbus RTU/TCP (опция С): уставка, частота, токи, аварии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ТЕХНИЧЕСКИЕ ХАРАКТЕРИСТИКИ</w:t>
      </w:r>
    </w:p>
    <w:tbl>
      <w:tblPr>
        <w:tblW w:type="dxa" w:w="9750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1850"/>
        <w:gridCol w:w="3025"/>
        <w:gridCol w:w="1850"/>
        <w:gridCol w:w="3025"/>
      </w:tblGrid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Количество насосов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1–3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Контроль питающей сети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РНПП-311М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Мощность электродвигателей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0,75–110 кВт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Логика управления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программируемый контроллер ОВЕН с ПИД-регулятором; преобразователь частоты отрабатывает задание контроллера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Преобразователь частоты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ПЧ ОВЕН; в обозначении — номинал ПЧ, до 200 А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Резерв при отказе ПЧ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байпас с прямым пуском — опция Б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Вводной автомат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6–800 А — по количеству и току двигателей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Связь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Modbus RTU (RS-485) / Modbus TCP (Ethernet) — опция С, по применяемому контроллеру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Регулирование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ПИД по датчику 4–20 мА (регулятор — в контроллере ОВЕН): давление, перепад, уровень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Степень защиты корпуса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IP54 (базово) или IP65; принудительная вентиляция по тепловому расчёту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Диапазон регулирования частоты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20–50 Гц (настраивается)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Климатическое исполнение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УХЛ4 (помещение, +1…+40 °С); УХЛ1 (улица, до −40 °С) — с опцией О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Применения (алгоритмы)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поддержание давления и уровня (ПД), циркуляция (Ц), дренаж (ДР); индивидуальные — по ТЗ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Корпус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навесной DKC ST до ~45 кВт; напольный DKC CQE — выше</w:t>
            </w:r>
          </w:p>
        </w:tc>
      </w:tr>
      <w:tr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11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Питание силовой цепи</w:t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2"/>
              <w:left w:type="dxa" w:w="0"/>
              <w:bottom w:type="dxa" w:w="42"/>
              <w:right w:type="dxa" w:w="2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~380 В (+10…−15 %), 50 Гц, 3 ф., N, PE; до 2,2 кВт — исполнение ~230 В по запросу</w:t>
            </w:r>
          </w:p>
        </w:tc>
        <w:tc>
          <w:tcPr>
            <w:tcW w:type="dxa" w:w="1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5"/>
              <w:left w:type="dxa" w:w="0"/>
              <w:bottom w:type="dxa" w:w="45"/>
              <w:right w:type="dxa" w:w="140"/>
            </w:tcMar>
            <w:vAlign w:val="top"/>
          </w:tcPr>
          <w:p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/>
            </w:r>
          </w:p>
        </w:tc>
        <w:tc>
          <w:tcPr>
            <w:tcW w:type="dxa" w:w="302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5"/>
              <w:left w:type="dxa" w:w="0"/>
              <w:bottom w:type="dxa" w:w="45"/>
              <w:right w:type="dxa" w:w="140"/>
            </w:tcMar>
            <w:vAlign w:val="top"/>
          </w:tcPr>
          <w:p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ОБОЗНАЧЕНИЕ ПРИ ЗАКАЗЕ</w:t>
      </w:r>
    </w:p>
    <w:p>
      <w:pPr>
        <w:spacing w:after="80" w:before="40"/>
      </w:pPr>
      <w:r>
        <w:rPr>
          <w:rFonts w:ascii="Segoe UI" w:cs="Segoe UI" w:eastAsia="Segoe UI" w:hAnsi="Segoe UI"/>
          <w:color w:val="6E7A86"/>
          <w:sz w:val="17"/>
          <w:szCs w:val="17"/>
        </w:rPr>
        <w:t xml:space="preserve">Пример обозначения   </w:t>
      </w:r>
      <w:r>
        <w:rPr>
          <w:rFonts w:ascii="Segoe UI Semibold" w:cs="Segoe UI Semibold" w:eastAsia="Segoe UI Semibold" w:hAnsi="Segoe UI Semibold"/>
          <w:color w:val="20466C"/>
          <w:sz w:val="20"/>
          <w:szCs w:val="20"/>
        </w:rPr>
        <w:t xml:space="preserve">ШУ-ПЧ-2-40-[13]-ПД-Д.Б-IP54-УХЛ4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1500"/>
        <w:gridCol w:w="8251"/>
      </w:tblGrid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ШУ-ПЧ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наименование серии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количество насосов: 1–3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номинальный ток вводного автомата, А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[ХХ]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номинальный ток преобразователя частоты, А — максимальный ток двигателя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ХХХ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код применения — алгоритм работы: ПД, Ц, ДР, ТЗ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Х.Х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опции (через точку)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IPXX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степень защиты корпуса: IP54 (базово) или IP65</w:t>
            </w:r>
          </w:p>
        </w:tc>
      </w:tr>
      <w:tr>
        <w:tc>
          <w:tcPr>
            <w:tcW w:type="dxa" w:w="1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1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62B31"/>
                <w:sz w:val="16"/>
                <w:szCs w:val="16"/>
              </w:rPr>
              <w:t xml:space="preserve">УХЛХ</w:t>
            </w:r>
          </w:p>
        </w:tc>
        <w:tc>
          <w:tcPr>
            <w:tcW w:type="dxa" w:w="82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климатическое исполнение по ГОСТ 15150: УХЛ4 (помещение) или УХЛ1 (улица, с опцией О)</w:t>
            </w:r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Номинал ПЧ выбирается по рабочему току двигателя с запасом 5–10 %. Номинал вводного автомата рассчитан как суммарный максимальный ток двигателей × 1,25 с округлением вверх по стандартному ряду; при наличии проектных данных корректируется под фактическую нагрузку объекта.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ПРИМЕНЕНИЯ — АЛГОРИТМ РАБОТЫ В ОБОЗНАЧЕНИИ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900"/>
        <w:gridCol w:w="2500"/>
        <w:gridCol w:w="6351"/>
      </w:tblGrid>
      <w:tr>
        <w:tc>
          <w:tcPr>
            <w:tcW w:type="dxa" w:w="900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КОД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ПРИМЕНЕНИЕ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АЛГОРИТМ РАБОТЫ И ТИПОВЫЕ ДАТЧИКИ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ПД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Повышение / поддержание давления, поддержание уровня в баке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поддержание уставки давления или уровня (релейное или ПИД по датчику 4–20 мА), чередование насосов по наработке, автоматический ввод резервного, защита от «сухого» хода, запрет частых пусков. Датчики: датчик давления 4–20 мА / ЭКМ / реле давления; для уровня — гидростатический уровнемер 4–20 мА или поплавки.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Ц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Циркуляция (отопление, ГВС, ИТП/ЦТП)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поддержание перепада давлений или температурного графика, чередование по наработке, сезонные режимы «зима/лето». Датчики: датчик перепада 4–20 мА, Pt100.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ДР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Дренаж: КНС, ДНС, осушение приямков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уровневый алгоритм откачки: пуск по верхнему уровню, останов по нижнему; двухканальный контроль уровня (гидростат + поплавки или электроды БКК1), каскадный пуск при пиковом притоке, аварийный перелив по независимому поплавку, чередование насосов по наработке, ограничение пусков в час. Датчики: поплавковые выключатели, гидростатический уровнемер 4–20 мА, электроды БКК1 (опция Э), поплавок перелива.</w:t>
            </w:r>
          </w:p>
        </w:tc>
      </w:tr>
      <w:tr>
        <w:tc>
          <w:tcPr>
            <w:tcW w:type="dxa" w:w="9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ТЗ</w:t>
            </w:r>
          </w:p>
        </w:tc>
        <w:tc>
          <w:tcPr>
            <w:tcW w:type="dxa" w:w="25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Индивидуальный алгоритм</w:t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  <w:vAlign w:val="top"/>
          </w:tcPr>
          <w:p>
            <w:pPr>
              <w:spacing w:after="0"/>
              <w:jc w:val="left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программа контроллера по техническому заданию заказчика — состав датчиков, режимы и интеграция по проекту (страница «Шкафы по ТЗ»). Датчики: по проекту.</w:t>
            </w:r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Код применения — обязательная позиция обозначения: он определяет программу контроллера и состав клеммника, аппаратная платформа серии не меняется.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ВХОДНЫЕ И ВЫХОДНЫЕ СИГНАЛЫ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6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2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ВХОДНЫЕ СИГНАЛЫ И ДАТЧИКИ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2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ВЫХОДНЫЕ СИГНАЛЫ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7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аналоговый датчик давления/уровня 4–20 мА (основной контур)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резервный дискретный контур: реле давления / ЭКМ / поплавки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датчик «сухого» хода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датчики Pt100/PTC (опция Т)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7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Modbus RTU/TCP: частота, ток, уставка, аварии (опция С)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ОПЦИИ</w:t>
      </w:r>
    </w:p>
    <w:tbl>
      <w:tblPr>
        <w:tblW w:type="dxa" w:w="9751"/>
        <w:tblBorders>
          <w:top w:val="nil" w:color="auto" w:sz="0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850"/>
        <w:gridCol w:w="8901"/>
      </w:tblGrid>
      <w:tr>
        <w:tc>
          <w:tcPr>
            <w:tcW w:type="dxa" w:w="850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КОД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single" w:color="295A8B" w:sz="8"/>
              <w:right w:val="nil" w:color="auto" w:sz="0"/>
            </w:tcBorders>
            <w:tcMar>
              <w:top w:type="dxa" w:w="30"/>
              <w:left w:type="dxa" w:w="0"/>
              <w:bottom w:type="dxa" w:w="55"/>
              <w:right w:type="dxa" w:w="6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6E7A86"/>
                <w:spacing w:val="16"/>
                <w:sz w:val="13"/>
                <w:szCs w:val="13"/>
              </w:rPr>
              <w:t xml:space="preserve">ОПЦИЯ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2В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Второй ввод питания с автоматическим переключением (встроенный АВР)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С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Интерфейс связи: RS-485 (Modbus RTU) / Ethernet (Modbus TCP) — по применяемому контроллеру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Д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GSM-диспетчеризация: промышленный роутер iRZ (2 SIM), защищённый канал OpenVPN до диспетчерской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Т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Контроль температуры Pt100/PTC — до 4 точек (подшипники, обмотки двигателя)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П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Панель оператора на двери шкафа: состояние, уставки, журнал аварий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Б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Байпас преобразователя: автоматический переход на прямой пуск при отказе ПЧ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Ф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Моторный дроссель / синусный фильтр — при длинных кабельных линиях до двигателя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Э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Электродные (кондуктометрические) датчики уровня с сигнализаторами БКК1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ПМУ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Выносной пульт местного управления IP65: цепи 24 В, аппаратная кнопка «Стоп» (минуя контроллер)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Г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Контроль герметичности и термозащиты погружных насосов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И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Секция бесперебойного питания цепей автоматики и связи (ИБП 600 ВА – 3 кВА)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У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Учёт электроэнергии — счётчик «Меркурий 230»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О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Обогрев и утепление корпуса — уличное исполнение УХЛ1 (до −40 °С)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А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Антивандальное исполнение: внутренняя дверь, усиленные замки</w:t>
            </w:r>
          </w:p>
        </w:tc>
      </w:tr>
      <w:tr>
        <w:tc>
          <w:tcPr>
            <w:tcW w:type="dxa" w:w="85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Segoe UI Semibold" w:cs="Segoe UI Semibold" w:eastAsia="Segoe UI Semibold" w:hAnsi="Segoe UI Semibold"/>
                <w:color w:val="20466C"/>
                <w:sz w:val="17"/>
                <w:szCs w:val="17"/>
              </w:rPr>
              <w:t xml:space="preserve">М</w:t>
            </w:r>
          </w:p>
        </w:tc>
        <w:tc>
          <w:tcPr>
            <w:tcW w:type="dxa" w:w="890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34"/>
              <w:left w:type="dxa" w:w="0"/>
              <w:bottom w:type="dxa" w:w="34"/>
              <w:right w:type="dxa" w:w="6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262B31"/>
                <w:sz w:val="16"/>
                <w:szCs w:val="16"/>
              </w:rPr>
              <w:t xml:space="preserve">Защита от импульсных перенапряжений (УЗИП)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КОНСТРУКТИВ И ИНЖЕНЕРНЫЕ РЕШЕНИЯ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Корпуса DKC: навесные серии ST до ~45 кВт, напольные CQE выше; вентиляция с фильтрами и термостатом по расчёту теплового баланса.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Логика управления — программируемый контроллер ОВЕН (ПИД-регулятор, многонасосные схемы); преобразователи частоты — ОВЕН.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Моторные дроссели и синусные фильтры (опция Ф) — при кабельных линиях большой длины.</w:t>
      </w:r>
    </w:p>
    <w:p>
      <w:pPr>
        <w:pStyle w:val="ListParagraph"/>
        <w:numPr>
          <w:ilvl w:val="0"/>
          <w:numId w:val="2"/>
        </w:numPr>
        <w:spacing w:after="22" w:line="248" w:lineRule="auto"/>
      </w:pPr>
      <w:r>
        <w:rPr>
          <w:rFonts w:ascii="Segoe UI" w:cs="Segoe UI" w:eastAsia="Segoe UI" w:hAnsi="Segoe UI"/>
          <w:color w:val="262B31"/>
          <w:sz w:val="17"/>
          <w:szCs w:val="17"/>
        </w:rPr>
        <w:t xml:space="preserve">ЭМС-монтаж: экранированные зоны, раздельная прокладка силовых и сигнальных цепей.</w:t>
      </w:r>
    </w:p>
    <w:p>
      <w:pPr>
        <w:spacing w:after="40"/>
      </w:pP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single" w:color="D7E2EC" w:sz="4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Управляемость при отказе электроники.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Переключатели «Ручной – 0 – Автомат» на двери и аппаратная цепь «Стоп», заведённая напрямую в катушку пускателя: насос можно пустить и остановить даже при неисправном контроллере.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Запас на развитие.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В каждом шкафу заложены свободные каналы контроллера, клеммы и место на DIN-рейке — на объекте шкаф дорабатывается без замены.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40"/>
              <w:right w:type="dxa" w:w="240"/>
            </w:tcMar>
            <w:vAlign w:val="top"/>
          </w:tcPr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Честная компоновка.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Габарит корпуса — результат расчёта теплового баланса и кабельных вводов под фактические кабели, а не «типовая коробка».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22" w:line="248" w:lineRule="auto"/>
            </w:pPr>
            <w:r>
              <w:rPr>
                <w:rFonts w:ascii="Segoe UI Semibold" w:cs="Segoe UI Semibold" w:eastAsia="Segoe UI Semibold" w:hAnsi="Segoe UI Semibold"/>
                <w:color w:val="262B31"/>
                <w:sz w:val="17"/>
                <w:szCs w:val="17"/>
              </w:rPr>
              <w:t xml:space="preserve">Унификация серии. </w:t>
            </w: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Один ЗИП и одна программа обслуживают несколько шкафов серии.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КОМПЛЕКТ ПОСТАВКИ</w:t>
      </w:r>
    </w:p>
    <w:p>
      <w:r>
        <w:rPr>
          <w:rFonts w:ascii="Segoe UI" w:cs="Segoe UI" w:eastAsia="Segoe UI" w:hAnsi="Segoe UI"/>
          <w:color w:val="262B31"/>
          <w:sz w:val="18"/>
          <w:szCs w:val="18"/>
        </w:rPr>
        <w:t xml:space="preserve">Шкаф в сборе с загруженной и настроенной программой; паспорт; руководство по эксплуатации; комплект электрических схем; карта Modbus-регистров (для исполнений со связью).</w:t>
      </w:r>
    </w:p>
    <w:sectPr>
      <w:headerReference w:type="default" r:id="rId7"/>
      <w:headerReference w:type="first" r:id="rId8"/>
      <w:footerReference w:type="default" r:id="rId9"/>
      <w:pgSz w:w="11906" w:h="16838" w:orient="portrait"/>
      <w:pgMar w:top="760" w:right="1021" w:bottom="90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2D2E0" w:sz="4"/>
      </w:pBdr>
      <w:tabs>
        <w:tab w:val="right" w:pos="9751"/>
      </w:tabs>
      <w:spacing w:after="0" w:before="60"/>
    </w:pPr>
    <w:r>
      <w:rPr>
        <w:rFonts w:ascii="Segoe UI" w:cs="Segoe UI" w:eastAsia="Segoe UI" w:hAnsi="Segoe UI"/>
        <w:color w:val="6E7A86"/>
        <w:sz w:val="13"/>
        <w:szCs w:val="13"/>
      </w:rPr>
      <w:t xml:space="preserve">АО «Катайский насосный завод» · г. Катайск · knz.ru</w:t>
    </w:r>
    <w:r>
      <w:rPr>
        <w:rFonts w:ascii="Segoe UI" w:cs="Segoe UI" w:eastAsia="Segoe UI" w:hAnsi="Segoe UI"/>
        <w:color w:val="262B31"/>
        <w:sz w:val="18"/>
        <w:szCs w:val="18"/>
      </w:rPr>
      <w:t xml:space="preserve">	</w:t>
    </w:r>
    <w:r>
      <w:rPr>
        <w:rFonts w:ascii="Segoe UI" w:cs="Segoe UI" w:eastAsia="Segoe UI" w:hAnsi="Segoe UI"/>
        <w:color w:val="6E7A86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Segoe UI" w:cs="Segoe UI" w:eastAsia="Segoe UI" w:hAnsi="Segoe UI"/>
        <w:color w:val="6E7A86"/>
        <w:spacing w:val="26"/>
        <w:sz w:val="12"/>
        <w:szCs w:val="12"/>
      </w:rPr>
      <w:t xml:space="preserve">СЕРИЯ ШУ-ПЧ · ШКАФЫ УПРАВЛЕНИЯ НАСОСАМИ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40" w:hanging="170"/>
      </w:pPr>
      <w:rPr>
        <w:rFonts w:ascii="Segoe UI" w:cs="Segoe UI" w:eastAsia="Segoe UI" w:hAnsi="Segoe UI"/>
        <w:color w:val="20466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20" w:hanging="240"/>
      </w:pPr>
      <w:rPr>
        <w:rFonts w:ascii="Segoe UI Semibold" w:cs="Segoe UI Semibold" w:eastAsia="Segoe UI Semibold" w:hAnsi="Segoe UI Semibold"/>
        <w:color w:val="20466C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262B31"/>
        <w:sz w:val="18"/>
        <w:szCs w:val="18"/>
      </w:rPr>
    </w:rPrDefault>
    <w:pPrDefault>
      <w:pPr>
        <w:spacing w:after="70" w:line="252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e4802a40ac3be632d41ee24088e2765faca5311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2026-09-02T07:03:23.476Z</dcterms:created>
  <dcterms:modified xsi:type="dcterms:W3CDTF">2026-09-02T07:03:23.476Z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