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400"/>
        <w:gridCol w:w="6351"/>
      </w:tblGrid>
      <w:tr>
        <w:tc>
          <w:tcPr>
            <w:tcW w:type="dxa" w:w="3400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90"/>
              <w:right w:type="dxa" w:w="0"/>
            </w:tcMar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1219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11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Segoe UI" w:cs="Segoe UI" w:eastAsia="Segoe UI" w:hAnsi="Segoe UI"/>
                <w:color w:val="6E7A86"/>
                <w:spacing w:val="26"/>
                <w:sz w:val="12"/>
                <w:szCs w:val="12"/>
              </w:rPr>
              <w:t xml:space="preserve">ШКАФЫ УПРАВЛЕНИЯ НАСОСНЫМ ОБОРУДОВАНИЕМ</w:t>
            </w:r>
          </w:p>
        </w:tc>
      </w:tr>
    </w:tbl>
    <w:p>
      <w:pPr>
        <w:spacing w:after="120"/>
      </w:pP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5820"/>
        <w:gridCol w:w="3931"/>
      </w:tblGrid>
      <w:tr>
        <w:tc>
          <w:tcPr>
            <w:tcW w:type="dxa" w:w="582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0"/>
              <w:left w:type="dxa" w:w="0"/>
              <w:bottom w:type="dxa" w:w="0"/>
              <w:right w:type="dxa" w:w="260"/>
            </w:tcMar>
            <w:vAlign w:val="top"/>
          </w:tcPr>
          <w:p>
            <w:pPr>
              <w:spacing w:after="20"/>
            </w:pPr>
            <w:r>
              <w:rPr>
                <w:rFonts w:ascii="Segoe UI Semibold" w:cs="Segoe UI Semibold" w:eastAsia="Segoe UI Semibold" w:hAnsi="Segoe UI Semibold"/>
                <w:color w:val="20466C"/>
                <w:spacing w:val="34"/>
                <w:sz w:val="14"/>
                <w:szCs w:val="14"/>
              </w:rPr>
              <w:t xml:space="preserve">СЕРИЯ ШУ-ПП · ПРЯМОЙ ПУСК</w:t>
            </w:r>
          </w:p>
          <w:p>
            <w:pPr>
              <w:spacing w:after="70" w:before="80"/>
            </w:pPr>
            <w:r>
              <w:rPr>
                <w:rFonts w:ascii="Segoe UI Light" w:cs="Segoe UI Light" w:eastAsia="Segoe UI Light" w:hAnsi="Segoe UI Light"/>
                <w:color w:val="262B31"/>
                <w:sz w:val="46"/>
                <w:szCs w:val="46"/>
              </w:rPr>
              <w:t xml:space="preserve">ШУ-ПП</w:t>
            </w:r>
          </w:p>
          <w:p>
            <w:pPr>
              <w:spacing w:after="130" w:line="252" w:lineRule="auto"/>
            </w:pPr>
            <w:r>
              <w:rPr>
                <w:rFonts w:ascii="Segoe UI" w:cs="Segoe UI" w:eastAsia="Segoe UI" w:hAnsi="Segoe UI"/>
                <w:color w:val="6E7A86"/>
                <w:sz w:val="19"/>
                <w:szCs w:val="19"/>
              </w:rPr>
              <w:t xml:space="preserve">Шкафы управления одним–тремя насосами с прямым пуском</w:t>
            </w:r>
          </w:p>
          <w:p>
            <w:pPr>
              <w:spacing w:after="0" w:line="264" w:lineRule="auto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Базовая серия для большинства задач водоснабжения и водоотведения: прямой пуск, полный набор защит, схема «рабочий / резервный» и готовые алгоритмы применений — в компактном навесном корпусе.</w:t>
            </w:r>
          </w:p>
        </w:tc>
        <w:tc>
          <w:tcPr>
            <w:tcW w:type="dxa" w:w="393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shd w:fill="E8F1F8" w:val="clear"/>
            <w:tcMar>
              <w:top w:type="dxa" w:w="170"/>
              <w:left w:type="dxa" w:w="230"/>
              <w:bottom w:type="dxa" w:w="170"/>
              <w:right w:type="dxa" w:w="140"/>
            </w:tcMar>
            <w:vAlign w:val="top"/>
          </w:tcPr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МОЩНОСТЬ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0,37–37 кВт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НАСОСОВ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1–3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ПУСК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прямой; звезда-треугольник — опция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ПРИМЕНЕНИЯ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поддержание давления · циркуляция · дренаж (КНС, ДНС, приямки)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АВТОМАТИКА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контроллер ОВЕН с программой под задачу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ИСПОЛНЕНИЕ</w:t>
            </w:r>
          </w:p>
          <w:p>
            <w:pPr>
              <w:spacing w:after="0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IP54 / IP65, до −40 °C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НАЗНАЧЕНИЕ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Шкафы серии ШУ-ПП предназначены для управления и защиты одного–трёх насосных агрегатов с асинхронными электродвигателями с короткозамкнутым ротором мощностью от 0,37 до 37 кВт. Пуск электродвигателей — прямой; для двигателей 15–37 кВт выпускается исполнение с пуском «звезда-треугольник» (опция ЗТ), снижающим пусковой ток примерно втрое.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Алгоритм работы задаётся кодом применения в обозначении: повышение и поддержание давления или уровня (ПД), циркуляция (Ц), дренаж — КНС, ДНС, осушение приямков (ДР). Аппаратная платформа серии при этом не меняется — меняются программа контроллера ОВЕН и состав датчиков.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Многонасосные исполнения работают по схеме «рабочий / резервный»: при аварии основного насоса автоматически вводится резервный, а чередование насосов по наработке обеспечивает равномерный износ агрегатов.</w:t>
      </w:r>
    </w:p>
    <w:p>
      <w:r>
        <w:rPr>
          <w:rFonts w:ascii="Segoe UI Semibold" w:cs="Segoe UI Semibold" w:eastAsia="Segoe UI Semibold" w:hAnsi="Segoe UI Semibold"/>
          <w:color w:val="262B31"/>
          <w:sz w:val="18"/>
          <w:szCs w:val="18"/>
        </w:rPr>
        <w:t xml:space="preserve">Рекомендуется для насосов Катайского насосного завода: </w:t>
      </w:r>
      <w:r>
        <w:rPr>
          <w:rFonts w:ascii="Segoe UI" w:cs="Segoe UI" w:eastAsia="Segoe UI" w:hAnsi="Segoe UI"/>
          <w:color w:val="262B31"/>
          <w:sz w:val="18"/>
          <w:szCs w:val="18"/>
        </w:rPr>
        <w:t xml:space="preserve">консольные К и КМ (до 37 кВт), линейные циркуляционные ЛМ, погружные СКАТ (5,5–30 кВт).</w:t>
      </w:r>
    </w:p>
    <w:p>
      <w:pPr>
        <w:spacing w:after="40"/>
      </w:pPr>
      <w:r>
        <w:rPr>
          <w:rFonts w:ascii="Segoe UI Semibold" w:cs="Segoe UI Semibold" w:eastAsia="Segoe UI Semibold" w:hAnsi="Segoe UI Semibold"/>
          <w:color w:val="262B31"/>
          <w:sz w:val="18"/>
          <w:szCs w:val="18"/>
        </w:rPr>
        <w:t xml:space="preserve">Типовые объекты: </w:t>
      </w:r>
      <w:r>
        <w:rPr>
          <w:rFonts w:ascii="Segoe UI" w:cs="Segoe UI" w:eastAsia="Segoe UI" w:hAnsi="Segoe UI"/>
          <w:color w:val="262B31"/>
          <w:sz w:val="18"/>
          <w:szCs w:val="18"/>
        </w:rPr>
        <w:t xml:space="preserve">насосные станции водоснабжения, ИТП и ЦТП, котельные, КНС и дренажные приямки, водонапорные башни, технологические установки промышленных предприятий.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ФУНКЦИИ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single" w:color="D7E2EC" w:sz="4"/>
        </w:tblBorders>
      </w:tblPr>
      <w:tblGrid>
        <w:gridCol w:w="3250"/>
        <w:gridCol w:w="3250"/>
        <w:gridCol w:w="3250"/>
      </w:tblGrid>
      <w:tr>
        <w:tc>
          <w:tcPr>
            <w:tcW w:type="dxa" w:w="32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Управление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режимы «Ручной – 0 – Автомат» отдельно по каждому насосу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автоматическая работа по алгоритму применения — по датчикам давления или уровня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чередование насосов по наработке и автоматический ввод резерва (многонасосные исполнения)</w:t>
            </w:r>
          </w:p>
        </w:tc>
        <w:tc>
          <w:tcPr>
            <w:tcW w:type="dxa" w:w="32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Защиты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короткое замыкание и тепловая перегрузка (мотор-автомат)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обрыв, перекос и неверное чередование фаз, повышенное/пониженное напряжение (реле РНПП-311М)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защита от «сухого» хода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аварийные уровни (перелив / осушение)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ограничение числа пусков в час</w:t>
            </w:r>
          </w:p>
        </w:tc>
        <w:tc>
          <w:tcPr>
            <w:tcW w:type="dxa" w:w="32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Индикация и сервис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светосигнальная индикация «Сеть», «Работа», «Авария» по каждому насосу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счётчики моточасов — в контроллере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передача состояния по Modbus RTU/TCP — исполнение с опцией С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ТЕХНИЧЕСКИЕ ХАРАКТЕРИСТИКИ</w:t>
      </w:r>
    </w:p>
    <w:tbl>
      <w:tblPr>
        <w:tblW w:type="dxa" w:w="9750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1850"/>
        <w:gridCol w:w="3025"/>
        <w:gridCol w:w="1850"/>
        <w:gridCol w:w="3025"/>
      </w:tblGrid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Количество насосов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1–3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Контроль питающей сети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реле РНПП-311М: обрыв, перекос, чередование фаз, Umin/Umax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Мощность электродвигателей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0,37–37 кВт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Логика управления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программируемый контроллер ОВЕН; программа — под выбранное применение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Ток двигателя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до 80 А; в обозначении — диапазон уставки АЗД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Режимы управления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«Ручной – 0 – Автомат»; аппаратная цепь «Стоп»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Вводной автомат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6–315 А — по количеству и току двигателей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Связь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Modbus RTU (RS-485) / Modbus TCP (Ethernet) — опция С, по применяемому контроллеру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Способ пуска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прямой (мотор-автомат + контактор); «звезда-треугольник» для 15–37 кВт — опция ЗТ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Степень защиты корпуса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IP54 (базово) или IP65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Применения (алгоритмы)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поддержание давления и уровня (ПД), циркуляция (Ц), дренаж (ДР); индивидуальные — по ТЗ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Климатическое исполнение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УХЛ4 (помещение, +1…+40 °С); УХЛ1 (улица, до −40 °С) — с опцией О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Питание силовой цепи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~380 В (+10…−15 %), 50 Гц, 3 ф., N, PE; для двигателей до 2,2 кВт — исполнение ~230 В по запросу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Корпус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металлический навесной DKC серии ST, от 400×300×150 мм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Полевые цепи (датчики, пульты)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=24 В — без сетевого напряжения в мокрых зонах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Резервы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каналы контроллера 20–40 %, клеммы 10–30 %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ОБОЗНАЧЕНИЕ ПРИ ЗАКАЗЕ</w:t>
      </w:r>
    </w:p>
    <w:p>
      <w:pPr>
        <w:spacing w:after="80" w:before="40"/>
      </w:pPr>
      <w:r>
        <w:rPr>
          <w:rFonts w:ascii="Segoe UI" w:cs="Segoe UI" w:eastAsia="Segoe UI" w:hAnsi="Segoe UI"/>
          <w:color w:val="6E7A86"/>
          <w:sz w:val="17"/>
          <w:szCs w:val="17"/>
        </w:rPr>
        <w:t xml:space="preserve">Пример обозначения   </w:t>
      </w:r>
      <w:r>
        <w:rPr>
          <w:rFonts w:ascii="Segoe UI Semibold" w:cs="Segoe UI Semibold" w:eastAsia="Segoe UI Semibold" w:hAnsi="Segoe UI Semibold"/>
          <w:color w:val="20466C"/>
          <w:sz w:val="20"/>
          <w:szCs w:val="20"/>
        </w:rPr>
        <w:t xml:space="preserve">ШУ-ПП-2-25-[6-10]-ДР-ПМУ.Г-IP54-УХЛ1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1500"/>
        <w:gridCol w:w="8251"/>
      </w:tblGrid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ШУ-ПП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наименование серии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количество насосов: 1–3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номинальный ток вводного автомата, А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[Х-Х]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диапазон уставки автомата защиты двигателя (АЗД), А — по нему подбирается ток двигателя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ХХХ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код применения — алгоритм работы: ПД, Ц, ДР, ТЗ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Х.Х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опции (через точку) — см. таблицу опций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IPXX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степень защиты корпуса: IP54 (базово) или IP65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УХЛХ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климатическое исполнение по ГОСТ 15150: УХЛ4 (помещение) или УХЛ1 (улица, с опцией О)</w:t>
            </w:r>
          </w:p>
        </w:tc>
      </w:tr>
    </w:tbl>
    <w:p>
      <w:pPr>
        <w:spacing w:after="40" w:before="60"/>
      </w:pPr>
      <w:r>
        <w:rPr>
          <w:rFonts w:ascii="Segoe UI" w:cs="Segoe UI" w:eastAsia="Segoe UI" w:hAnsi="Segoe UI"/>
          <w:i/>
          <w:iCs/>
          <w:color w:val="6E7A86"/>
          <w:sz w:val="14"/>
          <w:szCs w:val="14"/>
        </w:rPr>
        <w:t xml:space="preserve">Диапазон АЗД выбирается так, чтобы номинальный ток двигателя попадал внутрь диапазона ближе к его середине. Номинал вводного автомата рассчитан как суммарный максимальный ток двигателей × 1,25 с округлением вверх по стандартному ряду; при наличии проектных данных корректируется под фактическую нагрузку объекта.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ПРИМЕНЕНИЯ — АЛГОРИТМ РАБОТЫ В ОБОЗНАЧЕНИИ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900"/>
        <w:gridCol w:w="2500"/>
        <w:gridCol w:w="6351"/>
      </w:tblGrid>
      <w:tr>
        <w:tc>
          <w:tcPr>
            <w:tcW w:type="dxa" w:w="900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КОД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ПРИМЕНЕНИЕ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АЛГОРИТМ РАБОТЫ И ТИПОВЫЕ ДАТЧИКИ</w:t>
            </w:r>
          </w:p>
        </w:tc>
      </w:tr>
      <w:tr>
        <w:tc>
          <w:tcPr>
            <w:tcW w:type="dxa" w:w="9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ПД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Повышение / поддержание давления, поддержание уровня в баке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поддержание уставки давления или уровня (релейное или ПИД по датчику 4–20 мА), чередование насосов по наработке, автоматический ввод резервного, защита от «сухого» хода, запрет частых пусков. Датчики: датчик давления 4–20 мА / ЭКМ / реле давления; для уровня — гидростатический уровнемер 4–20 мА или поплавки.</w:t>
            </w:r>
          </w:p>
        </w:tc>
      </w:tr>
      <w:tr>
        <w:tc>
          <w:tcPr>
            <w:tcW w:type="dxa" w:w="9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Ц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Циркуляция (отопление, ГВС, ИТП/ЦТП)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поддержание перепада давлений или температурного графика, чередование по наработке, сезонные режимы «зима/лето». Датчики: датчик перепада 4–20 мА, Pt100.</w:t>
            </w:r>
          </w:p>
        </w:tc>
      </w:tr>
      <w:tr>
        <w:tc>
          <w:tcPr>
            <w:tcW w:type="dxa" w:w="9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ДР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Дренаж: КНС, ДНС, осушение приямков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уровневый алгоритм откачки: пуск по верхнему уровню, останов по нижнему; двухканальный контроль уровня (гидростат + поплавки или электроды БКК1), каскадный пуск при пиковом притоке, аварийный перелив по независимому поплавку, чередование насосов по наработке, ограничение пусков в час. Датчики: поплавковые выключатели, гидростатический уровнемер 4–20 мА, электроды БКК1 (опция Э), поплавок перелива.</w:t>
            </w:r>
          </w:p>
        </w:tc>
      </w:tr>
      <w:tr>
        <w:tc>
          <w:tcPr>
            <w:tcW w:type="dxa" w:w="9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ТЗ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Индивидуальный алгоритм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программа контроллера по техническому заданию заказчика — состав датчиков, режимы и интеграция по проекту (страница «Шкафы по ТЗ»). Датчики: по проекту.</w:t>
            </w:r>
          </w:p>
        </w:tc>
      </w:tr>
    </w:tbl>
    <w:p>
      <w:pPr>
        <w:spacing w:after="40" w:before="60"/>
      </w:pPr>
      <w:r>
        <w:rPr>
          <w:rFonts w:ascii="Segoe UI" w:cs="Segoe UI" w:eastAsia="Segoe UI" w:hAnsi="Segoe UI"/>
          <w:i/>
          <w:iCs/>
          <w:color w:val="6E7A86"/>
          <w:sz w:val="14"/>
          <w:szCs w:val="14"/>
        </w:rPr>
        <w:t xml:space="preserve">Код применения — обязательная позиция обозначения: он определяет программу контроллера и состав клеммника, аппаратная платформа серии не меняется.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ВХОДНЫЕ И ВЫХОДНЫЕ СИГНАЛЫ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6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2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ВХОДНЫЕ СИГНАЛЫ И ДАТЧИКИ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2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ВЫХОДНЫЕ СИГНАЛЫ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7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реле давления / электроконтактный манометр / датчик 4–20 мА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поплавковые выключатели верхнего и нижнего уровня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датчик «сухого» хода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кондуктометрические электроды через БКК1 (опция Э)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7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Modbus RTU/TCP: состояние, наработка, аварии (опция С)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ОПЦИИ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850"/>
        <w:gridCol w:w="8901"/>
      </w:tblGrid>
      <w:tr>
        <w:tc>
          <w:tcPr>
            <w:tcW w:type="dxa" w:w="850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КОД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ОПЦИЯ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ЗТ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Пуск «звезда-треугольник»: снижение пускового тока примерно втрое — для двигателей 15–37 кВт (только ШУ-ПП)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2В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Второй ввод питания с автоматическим переключением (встроенный АВР)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С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Интерфейс связи: RS-485 (Modbus RTU) / Ethernet (Modbus TCP) — по применяемому контроллеру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Д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GSM-диспетчеризация: промышленный роутер iRZ (2 SIM), защищённый канал OpenVPN до диспетчерской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П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Панель оператора на двери шкафа: состояние, уставки, журнал аварий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Э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Электродные (кондуктометрические) датчики уровня с сигнализаторами БКК1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ПМУ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Выносной пульт местного управления IP65: цепи 24 В, аппаратная кнопка «Стоп» (минуя контроллер)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Г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Контроль герметичности и термозащиты погружных насосов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И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Секция бесперебойного питания цепей автоматики и связи (ИБП 600 ВА – 3 кВА)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У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Учёт электроэнергии — счётчик «Меркурий 230»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О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Обогрев и утепление корпуса — уличное исполнение УХЛ1 (до −40 °С)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А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Антивандальное исполнение: внутренняя дверь, усиленные замки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М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Защита от импульсных перенапряжений (УЗИП)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КОНСТРУКТИВ И ИНЖЕНЕРНЫЕ РЕШЕНИЯ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Корпус — металлический навесной DKC серии ST, от 400×300×150 до 800×600×300 мм; ввод кабелей снизу через сальники.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Логика управления — программируемый контроллер ОВЕН; программа под выбранное применение загружается и настраивается при изготовлении шкафа.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Коммутационные аппараты Chint (мотор-автоматы NS2, контакторы NXC, автоматы NXB); по требованию проекта — КЭАЗ, DEKraft.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Органы управления и сигнализации Systeme Electric SB5/SB7 (IP65), клеммы Onka с полной маркировкой каждой жилы.</w:t>
      </w:r>
    </w:p>
    <w:p>
      <w:pPr>
        <w:spacing w:after="40"/>
      </w:pP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single" w:color="D7E2EC" w:sz="4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Управляемость при отказе электроники.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Переключатели «Ручной – 0 – Автомат» на двери и аппаратная цепь «Стоп», заведённая напрямую в катушку пускателя: насос можно пустить и остановить даже при неисправном контроллере.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Запас на развитие.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В каждом шкафу заложены свободные каналы контроллера, клеммы и место на DIN-рейке — на объекте шкаф дорабатывается без замены.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Честная компоновка.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Габарит корпуса — результат расчёта теплового баланса и кабельных вводов под фактические кабели, а не «типовая коробка».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Унификация серии.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Один ЗИП и одна программа обслуживают несколько шкафов серии.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КОМПЛЕКТ ПОСТАВКИ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Шкаф в сборе с загруженной и настроенной программой; паспорт; руководство по эксплуатации; комплект электрических схем; карта Modbus-регистров (для исполнений со связью).</w:t>
      </w:r>
    </w:p>
    <w:sectPr>
      <w:headerReference w:type="default" r:id="rId7"/>
      <w:headerReference w:type="first" r:id="rId8"/>
      <w:footerReference w:type="default" r:id="rId9"/>
      <w:pgSz w:w="11906" w:h="16838" w:orient="portrait"/>
      <w:pgMar w:top="760" w:right="1021" w:bottom="90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2D2E0" w:sz="4"/>
      </w:pBdr>
      <w:tabs>
        <w:tab w:val="right" w:pos="9751"/>
      </w:tabs>
      <w:spacing w:after="0" w:before="60"/>
    </w:pPr>
    <w:r>
      <w:rPr>
        <w:rFonts w:ascii="Segoe UI" w:cs="Segoe UI" w:eastAsia="Segoe UI" w:hAnsi="Segoe UI"/>
        <w:color w:val="6E7A86"/>
        <w:sz w:val="13"/>
        <w:szCs w:val="13"/>
      </w:rPr>
      <w:t xml:space="preserve">АО «Катайский насосный завод» · г. Катайск · knz.ru</w:t>
    </w:r>
    <w:r>
      <w:rPr>
        <w:rFonts w:ascii="Segoe UI" w:cs="Segoe UI" w:eastAsia="Segoe UI" w:hAnsi="Segoe UI"/>
        <w:color w:val="262B31"/>
        <w:sz w:val="18"/>
        <w:szCs w:val="18"/>
      </w:rPr>
      <w:t xml:space="preserve">	</w:t>
    </w:r>
    <w:r>
      <w:rPr>
        <w:rFonts w:ascii="Segoe UI" w:cs="Segoe UI" w:eastAsia="Segoe UI" w:hAnsi="Segoe UI"/>
        <w:color w:val="6E7A86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Segoe UI" w:cs="Segoe UI" w:eastAsia="Segoe UI" w:hAnsi="Segoe UI"/>
        <w:color w:val="6E7A86"/>
        <w:spacing w:val="26"/>
        <w:sz w:val="12"/>
        <w:szCs w:val="12"/>
      </w:rPr>
      <w:t xml:space="preserve">СЕРИЯ ШУ-ПП · ШКАФЫ УПРАВЛЕНИЯ НАСОСАМИ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40" w:hanging="170"/>
      </w:pPr>
      <w:rPr>
        <w:rFonts w:ascii="Segoe UI" w:cs="Segoe UI" w:eastAsia="Segoe UI" w:hAnsi="Segoe UI"/>
        <w:color w:val="20466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20" w:hanging="240"/>
      </w:pPr>
      <w:rPr>
        <w:rFonts w:ascii="Segoe UI Semibold" w:cs="Segoe UI Semibold" w:eastAsia="Segoe UI Semibold" w:hAnsi="Segoe UI Semibold"/>
        <w:color w:val="20466C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262B31"/>
        <w:sz w:val="18"/>
        <w:szCs w:val="18"/>
      </w:rPr>
    </w:rPrDefault>
    <w:pPrDefault>
      <w:pPr>
        <w:spacing w:after="70" w:line="252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e4802a40ac3be632d41ee24088e2765faca5311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2026-09-02T07:03:23.182Z</dcterms:created>
  <dcterms:modified xsi:type="dcterms:W3CDTF">2026-09-02T07:03:23.182Z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