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5820"/>
        <w:gridCol w:w="3931"/>
      </w:tblGrid>
      <w:tr>
        <w:tc>
          <w:tcPr>
            <w:tcW w:type="dxa" w:w="582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0"/>
              <w:left w:type="dxa" w:w="0"/>
              <w:bottom w:type="dxa" w:w="0"/>
              <w:right w:type="dxa" w:w="260"/>
            </w:tcMar>
            <w:vAlign w:val="top"/>
          </w:tcPr>
          <w:p>
            <w:pPr>
              <w:spacing w:after="20"/>
            </w:pPr>
            <w:r>
              <w:rPr>
                <w:rFonts w:ascii="Segoe UI Semibold" w:cs="Segoe UI Semibold" w:eastAsia="Segoe UI Semibold" w:hAnsi="Segoe UI Semibold"/>
                <w:color w:val="20466C"/>
                <w:spacing w:val="34"/>
                <w:sz w:val="14"/>
                <w:szCs w:val="14"/>
              </w:rPr>
              <w:t xml:space="preserve">СЕРИЯ ШУ-ПЛП · ПЛАВНЫЙ ПУСК</w:t>
            </w:r>
          </w:p>
          <w:p>
            <w:pPr>
              <w:spacing w:after="70" w:before="80"/>
            </w:pPr>
            <w:r>
              <w:rPr>
                <w:rFonts w:ascii="Segoe UI Light" w:cs="Segoe UI Light" w:eastAsia="Segoe UI Light" w:hAnsi="Segoe UI Light"/>
                <w:color w:val="262B31"/>
                <w:sz w:val="46"/>
                <w:szCs w:val="46"/>
              </w:rPr>
              <w:t xml:space="preserve">ШУ-ПлП</w:t>
            </w:r>
          </w:p>
          <w:p>
            <w:pPr>
              <w:spacing w:after="130" w:line="252" w:lineRule="auto"/>
            </w:pPr>
            <w:r>
              <w:rPr>
                <w:rFonts w:ascii="Segoe UI" w:cs="Segoe UI" w:eastAsia="Segoe UI" w:hAnsi="Segoe UI"/>
                <w:color w:val="6E7A86"/>
                <w:sz w:val="19"/>
                <w:szCs w:val="19"/>
              </w:rPr>
              <w:t xml:space="preserve">Шкафы управления насосами 15–110 кВт с устройством плавного пуска</w:t>
            </w:r>
          </w:p>
          <w:p>
            <w:pPr>
              <w:spacing w:after="0" w:line="264" w:lineRule="auto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Плавный пуск снижает пусковой ток с 6–7·Iном до 2,5–3·Iном и исключает гидроудары: меньше просадок сети, дольше ресурс насоса и трубопроводов.</w:t>
            </w:r>
          </w:p>
        </w:tc>
        <w:tc>
          <w:tcPr>
            <w:tcW w:type="dxa" w:w="393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shd w:fill="E8F1F8" w:val="clear"/>
            <w:tcMar>
              <w:top w:type="dxa" w:w="170"/>
              <w:left w:type="dxa" w:w="230"/>
              <w:bottom w:type="dxa" w:w="170"/>
              <w:right w:type="dxa" w:w="140"/>
            </w:tcMar>
            <w:vAlign w:val="top"/>
          </w:tcPr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МОЩНОСТЬ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15–110 кВт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НАСОСОВ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1–3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ПУСК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плавный (УПП ОВЕН), 1–60 с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ПУСКОВОЙ ТОК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2,5–3 · Iном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ПРИМЕНЕНИЯ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поддержание давления · циркуляция · дренаж (КНС, ДНС)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ИСПОЛНЕНИЕ</w:t>
            </w:r>
          </w:p>
          <w:p>
            <w:pPr>
              <w:spacing w:after="0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IP54 / IP65, до −40 °C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НАЗНАЧЕНИЕ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Шкафы серии ШУ-ПлП предназначены для управления и защиты одного–трёх насосных агрегатов мощностью 15–110 кВт с пуском через устройство плавного пуска (УПП ОВЕН) со встроенным байпасным контактором.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Плавный разгон и управляемый останов (настраиваемое время 1–60 с) исключают броски пускового тока и гидроудары в напорных трубопроводах — основную причину разрывов сетей и разрушения обратных клапанов при прямом пуске крупных насосов.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Алгоритм работы задаётся кодом применения в обозначении: повышение и поддержание давления или уровня (ПД), циркуляция (Ц), дренаж — КНС, ДНС, водоотлив (ДР); индивидуальные алгоритмы — по техническому заданию (ТЗ).</w:t>
      </w:r>
    </w:p>
    <w:p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Рекомендуется для насосов Катайского насосного завода: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консольные К (до 90 кВт), двухстороннего входа Д (до 110 кВт), секционные ЦНС/ЦНСГ (до 110 кВт), фекальные СМ (до 75 кВт).</w:t>
      </w:r>
    </w:p>
    <w:p>
      <w:pPr>
        <w:spacing w:after="40"/>
      </w:pPr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Типовые объекты: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станции второго и третьего подъёма, сетевые и подпиточные насосы котельных, водозаборы, шахтный и карьерный водоотлив (ЦНС), канализационные станции с сухоустановленными насосами СМ.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ФУНКЦИИ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3250"/>
        <w:gridCol w:w="3250"/>
        <w:gridCol w:w="3250"/>
      </w:tblGrid>
      <w:tr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Управление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режимы «Ручной – 0 – Автомат»; аппаратная цепь «Стоп»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автоматическая работа по алгоритму применения — по датчикам давления или уровня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управляемый останов с замедлением — защита от гидроудара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чередование и автоматический ввод резервного насоса (многонасосные исполнения)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Защиты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короткое замыкание (автоматический выключатель); обрыв, перекос и неверное чередование фаз, повышенное/пониженное напряжение (реле РНПП-311М)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защита от «сухого» хода, аварийные уровни, ограничение числа пусков в час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электронная защита по току: перегрузка, недогрузка, перекос фаз — с передачей токов и аварий по Modbus (опция С)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контроль температуры подшипников и обмоток Pt100/PTC (опция Т)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защиты УПП: перегрев, затянувшийся пуск, заклинивание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Индикация и сервис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индикация «Сеть», «Работа», «Авария»; моточасы и счётчики пусков — в контроллере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RTU/TCP (опция С): токи, состояние, аварии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ТЕХНИЧЕСКИЕ ХАРАКТЕРИСТИКИ</w:t>
      </w:r>
    </w:p>
    <w:tbl>
      <w:tblPr>
        <w:tblW w:type="dxa" w:w="9750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850"/>
        <w:gridCol w:w="3025"/>
        <w:gridCol w:w="1850"/>
        <w:gridCol w:w="3025"/>
      </w:tblGrid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Количество насосов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1–3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Питание силовой цепи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~380 В (+10…−15 %), 50 Гц, 3 ф., N, PE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электродвигателей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15–110 кВт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Контроль питающей сети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РНПП-311М: обрыв, перекос, чередование фаз, Umin/Umax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Ток двигателя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до 200 А; в обозначении — номинал УПП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Контроль тока двигателя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электронная токовая защита: перегрузка, недогрузка, перекос фаз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Вводной автомат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40–1000 А — по количеству и току двигателей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Логика управления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программируемый контроллер ОВЕН; программа — под выбранное применение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Способ пуска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плавный — УПП ОВЕН со встроенным байпасным контактором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Связь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 (RS-485) / Modbus TCP (Ethernet) — опция С, по применяемому контроллеру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Снижение пускового тока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до 2,5–3·Iном (при прямом пуске — 6–7·Iном)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 корпуса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IP54 (базово) или IP65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Время разгона / останова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настраиваемое, 1–60 с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УХЛ4 (помещение, +1…+40 °С); УХЛ1 (улица, до −40 °С) — с опцией О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Применения (алгоритмы)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давления и уровня (ПД), циркуляция (Ц), дренаж (ДР); индивидуальные — по ТЗ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Корпус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навесной DKC ST до 100 А; напольный DKC CQE — свыше 100 А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ОБОЗНАЧЕНИЕ ПРИ ЗАКАЗЕ</w:t>
      </w:r>
    </w:p>
    <w:p>
      <w:pPr>
        <w:spacing w:after="80" w:before="40"/>
      </w:pPr>
      <w:r>
        <w:rPr>
          <w:rFonts w:ascii="Segoe UI" w:cs="Segoe UI" w:eastAsia="Segoe UI" w:hAnsi="Segoe UI"/>
          <w:color w:val="6E7A86"/>
          <w:sz w:val="17"/>
          <w:szCs w:val="17"/>
        </w:rPr>
        <w:t xml:space="preserve">Пример обозначения   </w:t>
      </w:r>
      <w:r>
        <w:rPr>
          <w:rFonts w:ascii="Segoe UI Semibold" w:cs="Segoe UI Semibold" w:eastAsia="Segoe UI Semibold" w:hAnsi="Segoe UI Semibold"/>
          <w:color w:val="20466C"/>
          <w:sz w:val="20"/>
          <w:szCs w:val="20"/>
        </w:rPr>
        <w:t xml:space="preserve">ШУ-ПлП-1-80-[60]-ПД-Т.С-IP54-УХЛ4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500"/>
        <w:gridCol w:w="8251"/>
      </w:tblGrid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ШУ-ПлП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наименование серии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количество насосов: 1–3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номинальный ток вводного автомата, А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[ХХ]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номинальный ток устройства плавного пуска, А — максимальный ток двигателя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ХХХ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код применения — алгоритм работы: ПД, Ц, ДР, ТЗ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Х.Х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опции (через точку)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IPXX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степень защиты корпуса: IP54 (базово) или IP65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УХЛХ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климатическое исполнение по ГОСТ 15150: УХЛ4 (помещение) или УХЛ1 (улица, с опцией О)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Номинал УПП выбирается по рабочему току двигателя с запасом 5–10 %. Номинал вводного автомата рассчитан как суммарный максимальный ток двигателей × 1,25 с округлением вверх по стандартному ряду; при наличии проектных данных корректируется под фактическую нагрузку объекта.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ПРИМЕНЕНИЯ — АЛГОРИТМ РАБОТЫ В ОБОЗНАЧЕНИИ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900"/>
        <w:gridCol w:w="2500"/>
        <w:gridCol w:w="6351"/>
      </w:tblGrid>
      <w:tr>
        <w:tc>
          <w:tcPr>
            <w:tcW w:type="dxa" w:w="90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КОД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ПРИМЕНЕНИЕ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АЛГОРИТМ РАБОТЫ И ТИПОВЫЕ ДАТЧИКИ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ПД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Повышение / поддержание давления, поддержание уровня в баке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уставки давления или уровня (релейное или ПИД по датчику 4–20 мА), чередование насосов по наработке, автоматический ввод резервного, защита от «сухого» хода, запрет частых пусков. Датчики: датчик давления 4–20 мА / ЭКМ / реле давления; для уровня — гидростатический уровнемер 4–20 мА или поплавки.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Ц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Циркуляция (отопление, ГВС, ИТП/ЦТП)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перепада давлений или температурного графика, чередование по наработке, сезонные режимы «зима/лето». Датчики: датчик перепада 4–20 мА, Pt100.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ДР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Дренаж: КНС, ДНС, осушение приямков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уровневый алгоритм откачки: пуск по верхнему уровню, останов по нижнему; двухканальный контроль уровня (гидростат + поплавки или электроды БКК1), каскадный пуск при пиковом притоке, аварийный перелив по независимому поплавку, чередование насосов по наработке, ограничение пусков в час. Датчики: поплавковые выключатели, гидростатический уровнемер 4–20 мА, электроды БКК1 (опция Э), поплавок перелива.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ТЗ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Индивидуальный алгоритм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программа контроллера по техническому заданию заказчика — состав датчиков, режимы и интеграция по проекту (страница «Шкафы по ТЗ»). Датчики: по проекту.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Код применения — обязательная позиция обозначения: он определяет программу контроллера и состав клеммника, аппаратная платформа серии не меняется.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ВХОДНЫЕ И ВЫХОДНЫЕ СИГНАЛЫ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6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ВХОДНЫЕ СИГНАЛЫ И ДАТЧИКИ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ВЫХОДНЫЕ СИГНАЛЫ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реле давления / ЭКМ / датчик 4–20 мА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поплавковые выключатели, гидростатический уровнемер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датчик «сухого» хода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датчики Pt100/PTC (опция Т)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RTU/TCP: токи двигателя, состояние, аварии (опция С)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ОПЦИИ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850"/>
        <w:gridCol w:w="8901"/>
      </w:tblGrid>
      <w:tr>
        <w:tc>
          <w:tcPr>
            <w:tcW w:type="dxa" w:w="85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КОД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ОПЦИЯ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2В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Второй ввод питания с автоматическим переключением (встроенный АВР)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С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Интерфейс связи: RS-485 (Modbus RTU) / Ethernet (Modbus TCP) — по применяемому контроллеру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Д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GSM-диспетчеризация: промышленный роутер iRZ (2 SIM), защищённый канал OpenVPN до диспетчерской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Т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Контроль температуры Pt100/PTC — до 4 точек (подшипники, обмотки двигателя)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П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Панель оператора на двери шкафа: состояние, уставки, журнал аварий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ПМУ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Выносной пульт местного управления IP65: цепи 24 В, аппаратная кнопка «Стоп» (минуя контроллер)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Г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Контроль герметичности и термозащиты погружных насосов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И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Секция бесперебойного питания цепей автоматики и связи (ИБП 600 ВА – 3 кВА)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У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Учёт электроэнергии — счётчик «Меркурий 230»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О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Обогрев и утепление корпуса — уличное исполнение УХЛ1 (до −40 °С)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А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Антивандальное исполнение: внутренняя дверь, усиленные замки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М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Защита от импульсных перенапряжений (УЗИП)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КОНСТРУКТИВ И ИНЖЕНЕРНЫЕ РЕШЕНИЯ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До 100 А — навесной корпус DKC серии ST; свыше 100 А — напольный DKC CQE (до 2000×1200×600 мм).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Логика управления — программируемый контроллер ОВЕН; устройства плавного пуска — ОВЕН.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Принудительная вентиляция с термостатом (вентиляторы 85–800 м³/ч) — по результатам расчёта теплового баланса.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Коммутационные аппараты Chint NM8N/NXC; по требованию проекта — КЭАЗ, DEKraft.</w:t>
      </w:r>
    </w:p>
    <w:p>
      <w:pPr>
        <w:spacing w:after="40"/>
      </w:pP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Управляемость при отказе электроники.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Переключатели «Ручной – 0 – Автомат» на двери и аппаратная цепь «Стоп», заведённая напрямую в катушку пускателя: насос можно пустить и остановить даже при неисправном контроллере.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Запас на развитие.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 каждом шкафу заложены свободные каналы контроллера, клеммы и место на DIN-рейке — на объекте шкаф дорабатывается без замены.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Честная компоновка.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Габарит корпуса — результат расчёта теплового баланса и кабельных вводов под фактические кабели, а не «типовая коробка».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Унификация серии.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Один ЗИП и одна программа обслуживают несколько шкафов серии.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КОМПЛЕКТ ПОСТАВКИ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Шкаф в сборе с загруженной и настроенной программой; паспорт; руководство по эксплуатации; комплект электрических схем; карта Modbus-регистров (для исполнений со связью).</w:t>
      </w:r>
    </w:p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СЕРИЯ ШУ-ПЛП · ШКАФЫ УПРАВЛЕНИЯ НАСОСАМИ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2026-09-02T07:03:23.392Z</dcterms:created>
  <dcterms:modified xsi:type="dcterms:W3CDTF">2026-09-02T07:03:23.392Z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